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739761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54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54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653-т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5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59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59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659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ия 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приложения №№ 1, 2 к приказу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от 29 ноября 2020 года № 143-т</w:t>
      </w:r>
      <w:r>
        <w:rPr>
          <w:b/>
          <w:bCs/>
          <w:sz w:val="28"/>
          <w:szCs w:val="28"/>
        </w:rPr>
      </w:r>
      <w:r/>
    </w:p>
    <w:p>
      <w:pPr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прилагаемое изменение, которое вносится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го автономного округа от 29 ноября 2020 года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№ 143-т «Об установлении тарифов на тепловую энергию (мощность), производимую филиалом акционерного общества «Ямалкоммунэнерго»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Шурышкарском районе и поставляемую потребителям села Горки, села Лопхари, села Азовы, села Питляр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муниципального образования 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  <w:br/>
        <w:t xml:space="preserve">и долгосрочных параметров регулирования тарифов на 2020 - 2025 годы».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659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59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59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54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54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54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54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54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2"/>
        <w:ind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2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 </w:t>
      </w:r>
      <w:r/>
    </w:p>
    <w:p>
      <w:pPr>
        <w:pStyle w:val="842"/>
        <w:ind w:firstLine="0"/>
        <w:jc w:val="center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оторое вносится в приложения №№ 1, 2 к приказу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43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highlight w:val="none"/>
        </w:rPr>
      </w:r>
      <w:r/>
    </w:p>
    <w:p>
      <w:pPr>
        <w:pStyle w:val="842"/>
        <w:ind w:firstLine="0"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center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54"/>
        <w:ind w:left="1080"/>
        <w:jc w:val="both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№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№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, 2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изложить в следующей редакции: </w:t>
      </w:r>
      <w:r/>
    </w:p>
    <w:p>
      <w:pPr>
        <w:pStyle w:val="854"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/>
    </w:p>
    <w:p>
      <w:pPr>
        <w:pStyle w:val="854"/>
        <w:ind w:left="9204"/>
      </w:pP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pStyle w:val="854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/>
    </w:p>
    <w:p>
      <w:pPr>
        <w:pStyle w:val="854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</w:t>
      </w:r>
      <w:r>
        <w:rPr>
          <w:rFonts w:ascii="Liberation Sans" w:hAnsi="Liberation Sans" w:eastAsia="Liberation Serif" w:cs="Liberation Sans"/>
          <w:sz w:val="24"/>
        </w:rPr>
        <w:t xml:space="preserve">ого ко</w:t>
      </w:r>
      <w:r>
        <w:rPr>
          <w:rFonts w:ascii="Liberation Sans" w:hAnsi="Liberation Sans" w:eastAsia="Liberation Serif" w:cs="Liberation Sans"/>
          <w:sz w:val="24"/>
        </w:rPr>
        <w:t xml:space="preserve">мплекса </w:t>
      </w:r>
      <w:r/>
    </w:p>
    <w:p>
      <w:pPr>
        <w:pStyle w:val="854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/>
    </w:p>
    <w:p>
      <w:pPr>
        <w:pStyle w:val="854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</w:rPr>
        <w:t xml:space="preserve">43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/>
    </w:p>
    <w:p>
      <w:pPr>
        <w:pStyle w:val="854"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pStyle w:val="854"/>
        <w:ind w:left="8789" w:firstLine="425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/>
    </w:p>
    <w:p>
      <w:pPr>
        <w:ind w:left="8789" w:firstLine="425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right="-315"/>
        <w:jc w:val="both"/>
        <w:rPr>
          <w:rFonts w:ascii="Liberation Sans" w:hAnsi="Liberation Sans" w:cs="Liberation Sans"/>
          <w:bCs/>
          <w:sz w:val="24"/>
        </w:rPr>
      </w:pPr>
      <w:r>
        <w:rPr>
          <w:rFonts w:ascii="Liberation Sans" w:hAnsi="Liberation Sans" w:eastAsia="Liberation Serif" w:cs="Liberation Sans"/>
          <w:bCs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  <w:widowControl/>
        <w:rPr>
          <w:rFonts w:ascii="Liberation Sans" w:hAnsi="Liberation Sans" w:cs="Liberation Sans"/>
          <w:b w:val="0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ТАРИФЫ НА ТЕПЛОВУЮ ЭНЕРГИЮ (МОЩНОСТЬ), ПРОИЗВОДИМУЮ ФИЛИАЛОМ АКЦИОНЕРНОГО ОБЩЕСТВА «ЯМАЛКОММУНЭНЕРГО» В ШУРЫШКАРСКОМ РАЙОНЕ И ПОСТАВЛЯЕМУЮ ПОТРЕБИТЕЛЯМ СЕЛА ГОРКИ, СЕЛА ЛОПХАРИ, СЕЛА АЗОВЫ, СЕЛА ПИТЛЯР 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</w:t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  <w:widowControl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cs="Liberation Sans"/>
        </w:rPr>
      </w:r>
      <w:r/>
    </w:p>
    <w:p>
      <w:pPr>
        <w:pStyle w:val="849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59"/>
        <w:gridCol w:w="1985"/>
        <w:gridCol w:w="1050"/>
        <w:gridCol w:w="1931"/>
        <w:gridCol w:w="1001"/>
        <w:gridCol w:w="847"/>
        <w:gridCol w:w="1053"/>
        <w:gridCol w:w="928"/>
        <w:gridCol w:w="949"/>
        <w:gridCol w:w="2114"/>
      </w:tblGrid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37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2,5 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7,0 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до 13,0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18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4"/>
              </w:rPr>
              <w:t xml:space="preserve">Филиал акционерного общества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4"/>
              </w:rPr>
              <w:t xml:space="preserve">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4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01.12.2020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17262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01.01.2021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17262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01.07.2021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17383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17383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01.07.2022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30.11.2022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19469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22655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22655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6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22655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71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rFonts w:ascii="Liberation Sans" w:hAnsi="Liberation Sans" w:eastAsia="Liberation Serif" w:cs="Liberation Sans"/>
                <w:strike w:val="0"/>
                <w:color w:val="000000" w:themeColor="text1"/>
                <w:sz w:val="24"/>
                <w:szCs w:val="24"/>
                <w:highlight w:val="none"/>
              </w:rPr>
              <w:t xml:space="preserve">28171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19909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20081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contextualSpacing/>
        <w:ind w:right="-315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           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  О</w:t>
      </w:r>
      <w:r>
        <w:rPr>
          <w:rFonts w:ascii="Liberation Sans" w:hAnsi="Liberation Sans" w:cs="Liberation Sans"/>
          <w:sz w:val="24"/>
        </w:rPr>
      </w:r>
      <w:r/>
    </w:p>
    <w:p>
      <w:pPr>
        <w:ind w:left="9214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143-т</w:t>
      </w:r>
      <w:r>
        <w:rPr>
          <w:rFonts w:ascii="Liberation Sans" w:hAnsi="Liberation Sans" w:cs="Liberation Sans"/>
        </w:rPr>
      </w:r>
      <w:r/>
    </w:p>
    <w:p>
      <w:pPr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8789" w:firstLine="425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  <w:widowControl/>
        <w:rPr>
          <w:rFonts w:ascii="Liberation Sans" w:hAnsi="Liberation Sans" w:cs="Liberation Sans"/>
          <w:b w:val="0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ЛЬГОТНЫЕ ТАРИФЫ НА ТЕПЛОВУЮ ЭНЕРГИЮ (МОЩНОСТЬ), ПРОИЗВОДИМУЮ ФИЛИАЛОМ АКЦИОНЕРНОГО ОБЩЕСТВА «ЯМАЛКОММУНЭНЕРГО» В ШУРЫШКАРСКОМ РАЙОНЕ И ПОСТАВЛЯЕМУЮ ПОТРЕБИТЕЛЯМ СЕЛА ГОРКИ, СЕЛА ЛОПХАРИ, СЕЛА АЗОВЫ, СЕЛА ПИТЛЯР 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</w:t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  <w:widowControl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cs="Liberation Sans"/>
        </w:rPr>
      </w:r>
      <w:r/>
    </w:p>
    <w:p>
      <w:pPr>
        <w:pStyle w:val="849"/>
        <w:jc w:val="left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8"/>
        </w:rPr>
      </w:r>
      <w:r>
        <w:rPr>
          <w:rFonts w:ascii="Liberation Sans" w:hAnsi="Liberation Sans" w:cs="Liberation Sans"/>
          <w:b w:val="0"/>
          <w:sz w:val="24"/>
          <w:szCs w:val="28"/>
        </w:rPr>
      </w:r>
      <w:r/>
    </w:p>
    <w:tbl>
      <w:tblPr>
        <w:tblW w:w="5082" w:type="pct"/>
        <w:jc w:val="center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1"/>
        <w:gridCol w:w="2460"/>
        <w:gridCol w:w="2027"/>
        <w:gridCol w:w="1194"/>
        <w:gridCol w:w="2046"/>
        <w:gridCol w:w="1075"/>
        <w:gridCol w:w="877"/>
        <w:gridCol w:w="1179"/>
        <w:gridCol w:w="1007"/>
        <w:gridCol w:w="912"/>
        <w:gridCol w:w="1948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1307,47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1307,47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1351,92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1473,58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1591,47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63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1568,96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1568,96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1622,30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1768,30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/>
    </w:p>
    <w:p>
      <w:pPr>
        <w:pStyle w:val="842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/>
    </w:p>
    <w:p>
      <w:pPr>
        <w:ind w:firstLine="540"/>
        <w:jc w:val="both"/>
        <w:rPr>
          <w:rFonts w:ascii="Liberation Sans" w:hAnsi="Liberation Sans" w:cs="Liberation Sans"/>
          <w:sz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».</w:t>
      </w:r>
      <w:r>
        <w:rPr>
          <w:rFonts w:ascii="Liberation Sans" w:hAnsi="Liberation Sans" w:eastAsia="Liberation Serif" w:cs="Liberation Sans"/>
          <w:sz w:val="18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Название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>
    <w:name w:val="Body Text Indent"/>
    <w:basedOn w:val="659"/>
    <w:link w:val="851"/>
    <w:pPr>
      <w:ind w:left="283"/>
      <w:spacing w:after="120"/>
    </w:pPr>
    <w:rPr>
      <w:lang w:val="en-US" w:eastAsia="en-US"/>
    </w:rPr>
  </w:style>
  <w:style w:type="character" w:styleId="851" w:customStyle="1">
    <w:name w:val="Основной текст с отступом Знак"/>
    <w:link w:val="850"/>
    <w:rPr>
      <w:sz w:val="24"/>
      <w:szCs w:val="24"/>
    </w:rPr>
  </w:style>
  <w:style w:type="paragraph" w:styleId="852">
    <w:name w:val="Balloon Text"/>
    <w:basedOn w:val="659"/>
    <w:link w:val="853"/>
    <w:rPr>
      <w:rFonts w:ascii="Tahoma" w:hAnsi="Tahoma"/>
      <w:sz w:val="16"/>
      <w:szCs w:val="16"/>
      <w:lang w:val="en-US" w:eastAsia="en-US"/>
    </w:rPr>
  </w:style>
  <w:style w:type="character" w:styleId="853" w:customStyle="1">
    <w:name w:val="Текст выноски Знак"/>
    <w:link w:val="852"/>
    <w:rPr>
      <w:rFonts w:ascii="Tahoma" w:hAnsi="Tahoma"/>
      <w:sz w:val="16"/>
      <w:szCs w:val="16"/>
    </w:rPr>
  </w:style>
  <w:style w:type="paragraph" w:styleId="854" w:customStyle="1">
    <w:name w:val="Обычный"/>
    <w:next w:val="831"/>
    <w:link w:val="83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5" w:customStyle="1">
    <w:name w:val="Основной текст с отступом 2"/>
    <w:basedOn w:val="824"/>
    <w:next w:val="832"/>
    <w:link w:val="834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19</cp:revision>
  <dcterms:created xsi:type="dcterms:W3CDTF">2022-11-17T04:34:00Z</dcterms:created>
  <dcterms:modified xsi:type="dcterms:W3CDTF">2023-12-18T11:55:37Z</dcterms:modified>
</cp:coreProperties>
</file>